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Joint Schedule 3 (Insurance Requirements)</w:t>
      </w:r>
    </w:p>
    <w:p w:rsidR="00000000" w:rsidDel="00000000" w:rsidP="00000000" w:rsidRDefault="00000000" w:rsidRPr="00000000" w14:paraId="00000002">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54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The insurance you need to have</w:t>
      </w:r>
      <w:r w:rsidDel="00000000" w:rsidR="00000000" w:rsidRPr="00000000">
        <w:rPr>
          <w:rtl w:val="0"/>
        </w:rPr>
      </w:r>
    </w:p>
    <w:p w:rsidR="00000000" w:rsidDel="00000000" w:rsidP="00000000" w:rsidRDefault="00000000" w:rsidRPr="00000000" w14:paraId="0000000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take out and maintain, or procure the taking out and maintenance of the insurances as set out in the Annex to this Schedule, any additional insurances required under an Order Contract (specified in the applicable Order Form)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Additional Insurances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 any other insurances as may be required by applicable Law (together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Insurances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Supplier shall ensure that each of the Insurances is effective no later than: </w:t>
      </w:r>
    </w:p>
    <w:p w:rsidR="00000000" w:rsidDel="00000000" w:rsidP="00000000" w:rsidRDefault="00000000" w:rsidRPr="00000000" w14:paraId="00000004">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DPS Start Date in respect of those Insurances set out in the Annex to this Schedule and those required by applicable Law; and </w:t>
      </w:r>
    </w:p>
    <w:p w:rsidR="00000000" w:rsidDel="00000000" w:rsidP="00000000" w:rsidRDefault="00000000" w:rsidRPr="00000000" w14:paraId="00000005">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Order Contract Effective Date in respect of the Additional Insurances.</w:t>
      </w:r>
    </w:p>
    <w:p w:rsidR="00000000" w:rsidDel="00000000" w:rsidP="00000000" w:rsidRDefault="00000000" w:rsidRPr="00000000" w14:paraId="00000006">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Insurances shall be: </w:t>
      </w:r>
    </w:p>
    <w:p w:rsidR="00000000" w:rsidDel="00000000" w:rsidP="00000000" w:rsidRDefault="00000000" w:rsidRPr="00000000" w14:paraId="00000007">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maintained in accordance with Good Industry Practice; </w:t>
      </w:r>
    </w:p>
    <w:p w:rsidR="00000000" w:rsidDel="00000000" w:rsidP="00000000" w:rsidRDefault="00000000" w:rsidRPr="00000000" w14:paraId="00000008">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(so far as is reasonably practicable) on terms no less favourable than those generally available to a prudent contractor in respect of risks insured in the international insurance market from time to time;</w:t>
      </w:r>
    </w:p>
    <w:p w:rsidR="00000000" w:rsidDel="00000000" w:rsidP="00000000" w:rsidRDefault="00000000" w:rsidRPr="00000000" w14:paraId="00000009">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taken out and maintained with insurers of good financial standing and good repute in the international insurance market; and</w:t>
      </w:r>
    </w:p>
    <w:p w:rsidR="00000000" w:rsidDel="00000000" w:rsidP="00000000" w:rsidRDefault="00000000" w:rsidRPr="00000000" w14:paraId="0000000A">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maintained for at least six (6) years after the End Date.</w:t>
      </w:r>
    </w:p>
    <w:p w:rsidR="00000000" w:rsidDel="00000000" w:rsidP="00000000" w:rsidRDefault="00000000" w:rsidRPr="00000000" w14:paraId="0000000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ensure that the public and products liability policy contain an indemnity to principals clause under which the Relevant Authority shall be indemnified in respect of claims made against the Relevant Authority in respect of death or bodily injury or third party property damage arising out of or in connection with the Deliverables and for which the Supplier is legally liable.</w:t>
      </w:r>
    </w:p>
    <w:p w:rsidR="00000000" w:rsidDel="00000000" w:rsidP="00000000" w:rsidRDefault="00000000" w:rsidRPr="00000000" w14:paraId="0000000C">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54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How to manage the insurance</w:t>
      </w:r>
      <w:r w:rsidDel="00000000" w:rsidR="00000000" w:rsidRPr="00000000">
        <w:rPr>
          <w:rtl w:val="0"/>
        </w:rPr>
      </w:r>
    </w:p>
    <w:p w:rsidR="00000000" w:rsidDel="00000000" w:rsidP="00000000" w:rsidRDefault="00000000" w:rsidRPr="00000000" w14:paraId="0000000D">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Without limiting the other provisions of this Contract, the Supplier shall:</w:t>
      </w:r>
    </w:p>
    <w:p w:rsidR="00000000" w:rsidDel="00000000" w:rsidP="00000000" w:rsidRDefault="00000000" w:rsidRPr="00000000" w14:paraId="0000000E">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2835"/>
        </w:tabs>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take or procure the taking of all reasonable risk management and risk control measures in relation to Deliverables as it would be reasonable to expect of a prudent contractor acting in accordance with Good Industry Practice, including the investigation and reports of relevant claims to insurers;</w:t>
      </w:r>
    </w:p>
    <w:p w:rsidR="00000000" w:rsidDel="00000000" w:rsidP="00000000" w:rsidRDefault="00000000" w:rsidRPr="00000000" w14:paraId="0000000F">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2835"/>
        </w:tabs>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promptly notify the insurers in writing of any relevant material fact under any Insurances of which the Supplier is or becomes aware; and</w:t>
      </w:r>
    </w:p>
    <w:p w:rsidR="00000000" w:rsidDel="00000000" w:rsidP="00000000" w:rsidRDefault="00000000" w:rsidRPr="00000000" w14:paraId="00000010">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2835"/>
        </w:tabs>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hold all policies in respect of the Insurances and cause any insurance broker effecting the Insurances to hold any insurance slips and other evidence of placing cover representing any of the Insurances to which it is a party.</w:t>
      </w:r>
    </w:p>
    <w:p w:rsidR="00000000" w:rsidDel="00000000" w:rsidP="00000000" w:rsidRDefault="00000000" w:rsidRPr="00000000" w14:paraId="00000011">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54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What happens if you aren’t insured</w:t>
      </w: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not take any action or fail to take any action or (insofar as is reasonably within its power) permit anything to occur in relation to it which would entitle any insurer to refuse to pay any claim under any of the Insurances.</w:t>
      </w:r>
    </w:p>
    <w:p w:rsidR="00000000" w:rsidDel="00000000" w:rsidP="00000000" w:rsidRDefault="00000000" w:rsidRPr="00000000" w14:paraId="0000001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has failed to purchase or maintain any of the Insurances in full force and effect, the Relevant Authority may elect (but shall not be obliged) following written notice to the Supplier to purchase the relevant Insurances and recover the reasonable premium and other reasonable costs incurred in connection therewith as a debt due from the Supplier.</w:t>
      </w:r>
    </w:p>
    <w:p w:rsidR="00000000" w:rsidDel="00000000" w:rsidP="00000000" w:rsidRDefault="00000000" w:rsidRPr="00000000" w14:paraId="00000014">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54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Evidence of insurance you must provide</w:t>
      </w: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0"/>
          <w:i w:val="0"/>
          <w:smallCaps w:val="1"/>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upon the Start Date and within 15 Working Days after the renewal of each of the Insurances, provide evidence, in a form satisfactory to the Relevant Authority, that the Insurances are in force and effect and meet in full the requirements of this Schedule.</w:t>
      </w:r>
      <w:r w:rsidDel="00000000" w:rsidR="00000000" w:rsidRPr="00000000">
        <w:rPr>
          <w:rtl w:val="0"/>
        </w:rPr>
      </w:r>
    </w:p>
    <w:p w:rsidR="00000000" w:rsidDel="00000000" w:rsidP="00000000" w:rsidRDefault="00000000" w:rsidRPr="00000000" w14:paraId="00000016">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54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Making sure you are insured to the required amount</w:t>
      </w: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0"/>
          <w:i w:val="0"/>
          <w:smallCaps w:val="1"/>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ensure that any Insurances which are stated to have a minimum limit "in the aggregate" are maintained at all times for the minimum limit of indemnity specified in this Contract and if any claims are made which do not relate to this Contract then the Supplier shall notify the Relevant Authority and provide details of its proposed solution for maintaining the minimum limit of indemnity.</w:t>
      </w:r>
      <w:r w:rsidDel="00000000" w:rsidR="00000000" w:rsidRPr="00000000">
        <w:rPr>
          <w:rtl w:val="0"/>
        </w:rPr>
      </w:r>
    </w:p>
    <w:p w:rsidR="00000000" w:rsidDel="00000000" w:rsidP="00000000" w:rsidRDefault="00000000" w:rsidRPr="00000000" w14:paraId="00000018">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54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Cancelled Insurance</w:t>
      </w: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0"/>
          <w:i w:val="0"/>
          <w:smallCaps w:val="1"/>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notify the Relevant Authority in writing at least five (5) Working Days prior to the cancellation, suspension, termination or non-renewal of any of the Insurances.</w:t>
      </w: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0"/>
          <w:i w:val="0"/>
          <w:smallCaps w:val="1"/>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ensure that nothing is done which would entitle the relevant insurer to cancel, rescind or suspend any insurance or cover, or to treat any insurance, cover or claim as voided in whole or part.  The Supplier shall use all reasonable endeavours to notify the Relevant Authority (subject to third party confidentiality obligations) as soon as practicable when it becomes aware of any relevant fact, circumstance or matter which has caused, or is reasonably likely to provide grounds to, the relevant insurer to give notice to cancel, rescind, suspend or void any insurance, or any cover or claim under any insurance in whole or in part.</w:t>
      </w:r>
      <w:r w:rsidDel="00000000" w:rsidR="00000000" w:rsidRPr="00000000">
        <w:rPr>
          <w:rtl w:val="0"/>
        </w:rPr>
      </w:r>
    </w:p>
    <w:p w:rsidR="00000000" w:rsidDel="00000000" w:rsidP="00000000" w:rsidRDefault="00000000" w:rsidRPr="00000000" w14:paraId="0000001B">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54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Insurance claims</w:t>
      </w:r>
    </w:p>
    <w:p w:rsidR="00000000" w:rsidDel="00000000" w:rsidP="00000000" w:rsidRDefault="00000000" w:rsidRPr="00000000" w14:paraId="0000001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promptly notify to insurers any matter arising from, or in relation to, the Deliverables, or each Contract for which it may be entitled to claim under any of the Insurances.  In the event that the Relevant Authority receives a claim relating to or arising out of a Contract or the Deliverables, the Supplier shall co-operate with the Relevant Authority and assist it in dealing with such claims including without limitation providing information and documentation in a timely manner.</w:t>
      </w:r>
    </w:p>
    <w:p w:rsidR="00000000" w:rsidDel="00000000" w:rsidP="00000000" w:rsidRDefault="00000000" w:rsidRPr="00000000" w14:paraId="0000001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Except where the Relevant Authority is the claimant party, the Supplier shall give the Relevant Authority notice within twenty (20) Working Days after any insurance claim in excess of 10% of the sum required to be insured pursuant to Paragraph 5.1 relating to or arising out of the provision of the Deliverables or this Contract on any of the Insurances or which, but for the application of the applicable policy excess, would be made on any of the Insurances and (if required by the Relevant Authority) full details of the incident giving rise to the claim.</w:t>
      </w:r>
    </w:p>
    <w:p w:rsidR="00000000" w:rsidDel="00000000" w:rsidP="00000000" w:rsidRDefault="00000000" w:rsidRPr="00000000" w14:paraId="0000001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any Insurance requires payment of a premium, the Supplier shall be liable for and shall promptly pay such premium.</w:t>
      </w:r>
    </w:p>
    <w:p w:rsidR="00000000" w:rsidDel="00000000" w:rsidP="00000000" w:rsidRDefault="00000000" w:rsidRPr="00000000" w14:paraId="0000001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200" w:before="120" w:line="240" w:lineRule="auto"/>
        <w:ind w:left="90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any Insurance is subject to an excess or deductible below which the indemnity from insurers is excluded, the Supplier shall be liable for such excess or deductible.  The Supplier shall not be entitled to recover from the Relevant Authority any sum paid by way of excess or deductible under the Insurances whether under the terms of this Contract or otherwise.</w:t>
      </w:r>
      <w:r w:rsidDel="00000000" w:rsidR="00000000" w:rsidRPr="00000000">
        <w:br w:type="page"/>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8" w:right="0" w:hanging="576"/>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ANNEX: REQUIRED INSURANCES</w:t>
      </w:r>
    </w:p>
    <w:p w:rsidR="00000000" w:rsidDel="00000000" w:rsidP="00000000" w:rsidRDefault="00000000" w:rsidRPr="00000000" w14:paraId="00000021">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0"/>
          <w:i w:val="0"/>
          <w:smallCaps w:val="1"/>
          <w:strike w:val="0"/>
          <w:color w:val="000000"/>
          <w:sz w:val="24"/>
          <w:szCs w:val="24"/>
          <w:u w:val="none"/>
          <w:shd w:fill="auto" w:val="clear"/>
          <w:vertAlign w:val="baseline"/>
        </w:rPr>
      </w:pPr>
      <w:bookmarkStart w:colFirst="0" w:colLast="0" w:name="_heading=h.1fob9te" w:id="2"/>
      <w:bookmarkEnd w:id="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hold the following insurance cover from the DPS Start Date in accordance with this Schedule:</w:t>
      </w:r>
      <w:r w:rsidDel="00000000" w:rsidR="00000000" w:rsidRPr="00000000">
        <w:rPr>
          <w:rtl w:val="0"/>
        </w:rPr>
      </w:r>
    </w:p>
    <w:bookmarkStart w:colFirst="0" w:colLast="0" w:name="bookmark=id.3znysh7" w:id="3"/>
    <w:bookmarkEnd w:id="3"/>
    <w:p w:rsidR="00000000" w:rsidDel="00000000" w:rsidP="00000000" w:rsidRDefault="00000000" w:rsidRPr="00000000" w14:paraId="0000002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0"/>
          <w:i w:val="0"/>
          <w:smallCaps w:val="0"/>
          <w:strike w:val="0"/>
          <w:color w:val="000000"/>
          <w:sz w:val="24"/>
          <w:szCs w:val="24"/>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professional indemnity insurance with cover for a single event or a series of related events and in the aggregate of not less than </w:t>
      </w:r>
      <w:r w:rsidDel="00000000" w:rsidR="00000000" w:rsidRPr="00000000">
        <w:rPr>
          <w:rFonts w:ascii="Arial" w:cs="Arial" w:eastAsia="Arial" w:hAnsi="Arial"/>
          <w:sz w:val="24"/>
          <w:szCs w:val="24"/>
          <w:rtl w:val="0"/>
        </w:rPr>
        <w:t xml:space="preserve">one</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million pounds (£1,000,000); </w:t>
      </w:r>
    </w:p>
    <w:p w:rsidR="00000000" w:rsidDel="00000000" w:rsidP="00000000" w:rsidRDefault="00000000" w:rsidRPr="00000000" w14:paraId="0000002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0"/>
          <w:i w:val="0"/>
          <w:smallCaps w:val="0"/>
          <w:strike w:val="0"/>
          <w:color w:val="000000"/>
          <w:sz w:val="24"/>
          <w:szCs w:val="24"/>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public liability insurance with cover for a single event or a series of related events and in the aggregate of not less than </w:t>
      </w:r>
      <w:r w:rsidDel="00000000" w:rsidR="00000000" w:rsidRPr="00000000">
        <w:rPr>
          <w:rFonts w:ascii="Arial" w:cs="Arial" w:eastAsia="Arial" w:hAnsi="Arial"/>
          <w:sz w:val="24"/>
          <w:szCs w:val="24"/>
          <w:rtl w:val="0"/>
        </w:rPr>
        <w:t xml:space="preserve">one</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million pounds (£1,000,000); and</w:t>
      </w:r>
    </w:p>
    <w:p w:rsidR="00000000" w:rsidDel="00000000" w:rsidP="00000000" w:rsidRDefault="00000000" w:rsidRPr="00000000" w14:paraId="0000002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00" w:right="0" w:hanging="540"/>
        <w:jc w:val="left"/>
        <w:rPr>
          <w:rFonts w:ascii="Arial" w:cs="Arial" w:eastAsia="Arial" w:hAnsi="Arial"/>
          <w:b w:val="0"/>
          <w:i w:val="0"/>
          <w:smallCaps w:val="0"/>
          <w:strike w:val="0"/>
          <w:color w:val="000000"/>
          <w:sz w:val="24"/>
          <w:szCs w:val="24"/>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employers’ liability insurance with cover for a single event or a series of related events and in the aggregate of not less than </w:t>
      </w:r>
      <w:r w:rsidDel="00000000" w:rsidR="00000000" w:rsidRPr="00000000">
        <w:rPr>
          <w:rFonts w:ascii="Arial" w:cs="Arial" w:eastAsia="Arial" w:hAnsi="Arial"/>
          <w:sz w:val="24"/>
          <w:szCs w:val="24"/>
          <w:rtl w:val="0"/>
        </w:rPr>
        <w:t xml:space="preserve">five</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million pounds (£</w:t>
      </w:r>
      <w:r w:rsidDel="00000000" w:rsidR="00000000" w:rsidRPr="00000000">
        <w:rPr>
          <w:rFonts w:ascii="Arial" w:cs="Arial" w:eastAsia="Arial" w:hAnsi="Arial"/>
          <w:sz w:val="24"/>
          <w:szCs w:val="24"/>
          <w:rtl w:val="0"/>
        </w:rPr>
        <w:t xml:space="preserve">5</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,000,000). </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54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54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sectPr>
      <w:headerReference r:id="rId7" w:type="default"/>
      <w:headerReference r:id="rId8" w:type="first"/>
      <w:footerReference r:id="rId9" w:type="default"/>
      <w:footerReference r:id="rId10"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C">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DPS Ref: RM6296 Occupational Health and Related Services</w:t>
      <w:tab/>
      <w:t xml:space="preserve">                                           </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E">
    <w:pPr>
      <w:spacing w:after="0" w:lineRule="auto"/>
      <w:rPr/>
    </w:pPr>
    <w:r w:rsidDel="00000000" w:rsidR="00000000" w:rsidRPr="00000000">
      <w:rPr>
        <w:rFonts w:ascii="Arial" w:cs="Arial" w:eastAsia="Arial" w:hAnsi="Arial"/>
        <w:sz w:val="20"/>
        <w:szCs w:val="20"/>
        <w:rtl w:val="0"/>
      </w:rPr>
      <w:t xml:space="preserve">Model Version: v1.0</w:t>
      <w:tab/>
      <w:tab/>
      <w:tab/>
      <w:tab/>
      <w:tab/>
      <w:tab/>
      <w:tab/>
      <w:tab/>
      <w:tab/>
    </w:r>
    <w:r w:rsidDel="00000000" w:rsidR="00000000" w:rsidRPr="00000000">
      <w:rPr>
        <w:rtl w:val="0"/>
      </w:rPr>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F">
    <w:pPr>
      <w:tabs>
        <w:tab w:val="center" w:leader="none" w:pos="4513"/>
        <w:tab w:val="right" w:leader="none" w:pos="9026"/>
      </w:tabs>
      <w:spacing w:after="0" w:lineRule="auto"/>
      <w:rPr>
        <w:rFonts w:ascii="Arial" w:cs="Arial" w:eastAsia="Arial" w:hAnsi="Arial"/>
        <w:color w:val="bfbfbf"/>
        <w:sz w:val="20"/>
        <w:szCs w:val="20"/>
      </w:rPr>
    </w:pPr>
    <w:r w:rsidDel="00000000" w:rsidR="00000000" w:rsidRPr="00000000">
      <w:rPr>
        <w:rtl w:val="0"/>
      </w:rPr>
    </w:r>
  </w:p>
  <w:p w:rsidR="00000000" w:rsidDel="00000000" w:rsidP="00000000" w:rsidRDefault="00000000" w:rsidRPr="00000000" w14:paraId="00000030">
    <w:pPr>
      <w:tabs>
        <w:tab w:val="center" w:leader="none" w:pos="4513"/>
        <w:tab w:val="right" w:leader="none" w:pos="9026"/>
      </w:tabs>
      <w:spacing w:after="0" w:lineRule="auto"/>
      <w:jc w:val="left"/>
      <w:rPr>
        <w:rFonts w:ascii="Arial" w:cs="Arial" w:eastAsia="Arial" w:hAnsi="Arial"/>
        <w:color w:val="bfbfbf"/>
        <w:sz w:val="20"/>
        <w:szCs w:val="20"/>
      </w:rPr>
    </w:pPr>
    <w:r w:rsidDel="00000000" w:rsidR="00000000" w:rsidRPr="00000000">
      <w:rPr>
        <w:rFonts w:ascii="Arial" w:cs="Arial" w:eastAsia="Arial" w:hAnsi="Arial"/>
        <w:color w:val="bfbfbf"/>
        <w:sz w:val="20"/>
        <w:szCs w:val="20"/>
        <w:rtl w:val="0"/>
      </w:rPr>
      <w:t xml:space="preserve">DPS Ref: RM</w:t>
      <w:tab/>
      <w:t xml:space="preserve">                                           </w:t>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bfbfbf"/>
        <w:sz w:val="20"/>
        <w:szCs w:val="20"/>
        <w:u w:val="none"/>
        <w:shd w:fill="auto" w:val="clear"/>
        <w:vertAlign w:val="baseline"/>
      </w:rPr>
    </w:pPr>
    <w:r w:rsidDel="00000000" w:rsidR="00000000" w:rsidRPr="00000000">
      <w:rPr>
        <w:rFonts w:ascii="Arial" w:cs="Arial" w:eastAsia="Arial" w:hAnsi="Arial"/>
        <w:b w:val="0"/>
        <w:i w:val="0"/>
        <w:smallCaps w:val="0"/>
        <w:strike w:val="0"/>
        <w:color w:val="bfbfbf"/>
        <w:sz w:val="20"/>
        <w:szCs w:val="20"/>
        <w:u w:val="none"/>
        <w:shd w:fill="auto" w:val="clear"/>
        <w:vertAlign w:val="baseline"/>
        <w:rtl w:val="0"/>
      </w:rPr>
      <w:t xml:space="preserve">Project Version: v1.0</w:t>
      <w:tab/>
      <w:tab/>
      <w:t xml:space="preserve"> </w:t>
    </w:r>
    <w:r w:rsidDel="00000000" w:rsidR="00000000" w:rsidRPr="00000000">
      <w:rPr>
        <w:rFonts w:ascii="Arial" w:cs="Arial" w:eastAsia="Arial" w:hAnsi="Arial"/>
        <w:b w:val="0"/>
        <w:i w:val="0"/>
        <w:smallCaps w:val="0"/>
        <w:strike w:val="0"/>
        <w:color w:val="bfbfbf"/>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2">
    <w:pPr>
      <w:spacing w:after="0" w:lineRule="auto"/>
      <w:jc w:val="left"/>
      <w:rPr>
        <w:color w:val="bfbfbf"/>
      </w:rPr>
    </w:pPr>
    <w:r w:rsidDel="00000000" w:rsidR="00000000" w:rsidRPr="00000000">
      <w:rPr>
        <w:rFonts w:ascii="Arial" w:cs="Arial" w:eastAsia="Arial" w:hAnsi="Arial"/>
        <w:color w:val="bfbfbf"/>
        <w:sz w:val="20"/>
        <w:szCs w:val="20"/>
        <w:rtl w:val="0"/>
      </w:rPr>
      <w:t xml:space="preserve">Model Version : v3.0</w:t>
      <w:tab/>
      <w:tab/>
      <w:tab/>
      <w:tab/>
      <w:tab/>
      <w:tab/>
      <w:tab/>
      <w:tab/>
      <w:tab/>
    </w:r>
    <w:r w:rsidDel="00000000" w:rsidR="00000000" w:rsidRPr="00000000">
      <w:rPr>
        <w:color w:val="bfbfbf"/>
        <w:rtl w:val="0"/>
      </w:rPr>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Joint Schedule 3 (Insurance Requirements)</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 </w:t>
    </w:r>
    <w:r w:rsidDel="00000000" w:rsidR="00000000" w:rsidRPr="00000000">
      <w:rPr>
        <w:rFonts w:ascii="Arial" w:cs="Arial" w:eastAsia="Arial" w:hAnsi="Arial"/>
        <w:sz w:val="20"/>
        <w:szCs w:val="20"/>
        <w:rtl w:val="0"/>
      </w:rPr>
      <w:t xml:space="preserve">2023</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1"/>
        <w:i w:val="0"/>
        <w:smallCaps w:val="0"/>
        <w:strike w:val="0"/>
        <w:color w:val="bfbfbf"/>
        <w:sz w:val="20"/>
        <w:szCs w:val="20"/>
        <w:u w:val="none"/>
        <w:shd w:fill="auto" w:val="clear"/>
        <w:vertAlign w:val="baseline"/>
      </w:rPr>
    </w:pPr>
    <w:r w:rsidDel="00000000" w:rsidR="00000000" w:rsidRPr="00000000">
      <w:rPr>
        <w:rFonts w:ascii="Arial" w:cs="Arial" w:eastAsia="Arial" w:hAnsi="Arial"/>
        <w:b w:val="1"/>
        <w:i w:val="0"/>
        <w:smallCaps w:val="0"/>
        <w:strike w:val="0"/>
        <w:color w:val="bfbfbf"/>
        <w:sz w:val="20"/>
        <w:szCs w:val="20"/>
        <w:u w:val="none"/>
        <w:shd w:fill="auto" w:val="clear"/>
        <w:vertAlign w:val="baseline"/>
        <w:rtl w:val="0"/>
      </w:rPr>
      <w:t xml:space="preserve">Joint Schedule 3 (Insurance Requirements)</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bfbfbf"/>
        <w:sz w:val="20"/>
        <w:szCs w:val="20"/>
        <w:u w:val="none"/>
        <w:shd w:fill="auto" w:val="clear"/>
        <w:vertAlign w:val="baseline"/>
      </w:rPr>
    </w:pPr>
    <w:r w:rsidDel="00000000" w:rsidR="00000000" w:rsidRPr="00000000">
      <w:rPr>
        <w:rFonts w:ascii="Arial" w:cs="Arial" w:eastAsia="Arial" w:hAnsi="Arial"/>
        <w:b w:val="0"/>
        <w:i w:val="0"/>
        <w:smallCaps w:val="0"/>
        <w:strike w:val="0"/>
        <w:color w:val="bfbfbf"/>
        <w:sz w:val="20"/>
        <w:szCs w:val="20"/>
        <w:u w:val="none"/>
        <w:shd w:fill="auto" w:val="clear"/>
        <w:vertAlign w:val="baseline"/>
        <w:rtl w:val="0"/>
      </w:rPr>
      <w:t xml:space="preserve">Crown Copyright </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54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1391" w:hanging="360"/>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602" w:hanging="720"/>
      </w:pPr>
      <w:rPr>
        <w:rFonts w:ascii="Calibri" w:cs="Calibri" w:eastAsia="Calibri" w:hAnsi="Calibri"/>
        <w:b w:val="0"/>
        <w:i w:val="0"/>
        <w:smallCaps w:val="0"/>
        <w:strike w:val="0"/>
        <w:color w:val="000000"/>
        <w:sz w:val="22"/>
        <w:szCs w:val="22"/>
        <w:u w:val="none"/>
        <w:vertAlign w:val="baseline"/>
      </w:rPr>
    </w:lvl>
    <w:lvl w:ilvl="3">
      <w:start w:val="1"/>
      <w:numFmt w:val="lowerLetter"/>
      <w:lvlText w:val="(%4)"/>
      <w:lvlJc w:val="left"/>
      <w:pPr>
        <w:ind w:left="3027"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620" w:hanging="1080"/>
      </w:pPr>
      <w:rPr>
        <w:b w:val="0"/>
        <w:i w:val="0"/>
        <w:smallCaps w:val="0"/>
        <w:strike w:val="0"/>
        <w:color w:val="000000"/>
        <w:u w:val="none"/>
        <w:vertAlign w:val="baseline"/>
      </w:rPr>
    </w:lvl>
    <w:lvl w:ilvl="5">
      <w:start w:val="1"/>
      <w:numFmt w:val="upperLetter"/>
      <w:lvlText w:val="(%6)"/>
      <w:lvlJc w:val="left"/>
      <w:pPr>
        <w:ind w:left="1620" w:hanging="1080"/>
      </w:pPr>
      <w:rPr>
        <w:b w:val="0"/>
        <w:i w:val="0"/>
        <w:smallCaps w:val="0"/>
        <w:strike w:val="0"/>
        <w:color w:val="000000"/>
        <w:u w:val="none"/>
        <w:vertAlign w:val="baseline"/>
      </w:rPr>
    </w:lvl>
    <w:lvl w:ilvl="6">
      <w:start w:val="1"/>
      <w:numFmt w:val="decimal"/>
      <w:lvlText w:val="%1.%2.%3.%4.%5.%6.%7"/>
      <w:lvlJc w:val="left"/>
      <w:pPr>
        <w:ind w:left="1980" w:hanging="1440"/>
      </w:pPr>
      <w:rPr/>
    </w:lvl>
    <w:lvl w:ilvl="7">
      <w:start w:val="1"/>
      <w:numFmt w:val="decimal"/>
      <w:lvlText w:val="%1.%2.%3.%4.%5.%6.%7.%8"/>
      <w:lvlJc w:val="left"/>
      <w:pPr>
        <w:ind w:left="1980" w:hanging="1440"/>
      </w:pPr>
      <w:rPr/>
    </w:lvl>
    <w:lvl w:ilvl="8">
      <w:start w:val="1"/>
      <w:numFmt w:val="decimal"/>
      <w:lvlText w:val="%1.%2.%3.%4.%5.%6.%7.%8.%9"/>
      <w:lvlJc w:val="left"/>
      <w:pPr>
        <w:ind w:left="2340" w:hanging="1800"/>
      </w:pPr>
      <w:rPr/>
    </w:lvl>
  </w:abstractNum>
  <w:abstractNum w:abstractNumId="2">
    <w:lvl w:ilvl="0">
      <w:start w:val="1"/>
      <w:numFmt w:val="decimal"/>
      <w:lvlText w:val="%1."/>
      <w:lvlJc w:val="left"/>
      <w:pPr>
        <w:ind w:left="54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1391" w:hanging="360"/>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602" w:hanging="720"/>
      </w:pPr>
      <w:rPr>
        <w:rFonts w:ascii="Calibri" w:cs="Calibri" w:eastAsia="Calibri" w:hAnsi="Calibri"/>
        <w:b w:val="0"/>
        <w:i w:val="0"/>
        <w:smallCaps w:val="0"/>
        <w:strike w:val="0"/>
        <w:color w:val="000000"/>
        <w:sz w:val="22"/>
        <w:szCs w:val="22"/>
        <w:u w:val="none"/>
        <w:vertAlign w:val="baseline"/>
      </w:rPr>
    </w:lvl>
    <w:lvl w:ilvl="3">
      <w:start w:val="1"/>
      <w:numFmt w:val="lowerLetter"/>
      <w:lvlText w:val="(%4)"/>
      <w:lvlJc w:val="left"/>
      <w:pPr>
        <w:ind w:left="3027"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620" w:hanging="1080"/>
      </w:pPr>
      <w:rPr>
        <w:b w:val="0"/>
        <w:i w:val="0"/>
        <w:smallCaps w:val="0"/>
        <w:strike w:val="0"/>
        <w:color w:val="000000"/>
        <w:u w:val="none"/>
        <w:vertAlign w:val="baseline"/>
      </w:rPr>
    </w:lvl>
    <w:lvl w:ilvl="5">
      <w:start w:val="1"/>
      <w:numFmt w:val="upperLetter"/>
      <w:lvlText w:val="(%6)"/>
      <w:lvlJc w:val="left"/>
      <w:pPr>
        <w:ind w:left="1620" w:hanging="1080"/>
      </w:pPr>
      <w:rPr>
        <w:b w:val="0"/>
        <w:i w:val="0"/>
        <w:smallCaps w:val="0"/>
        <w:strike w:val="0"/>
        <w:color w:val="000000"/>
        <w:u w:val="none"/>
        <w:vertAlign w:val="baseline"/>
      </w:rPr>
    </w:lvl>
    <w:lvl w:ilvl="6">
      <w:start w:val="1"/>
      <w:numFmt w:val="decimal"/>
      <w:lvlText w:val="%1.%2.%3.%4.%5.%6.%7"/>
      <w:lvlJc w:val="left"/>
      <w:pPr>
        <w:ind w:left="1980" w:hanging="1440"/>
      </w:pPr>
      <w:rPr/>
    </w:lvl>
    <w:lvl w:ilvl="7">
      <w:start w:val="1"/>
      <w:numFmt w:val="decimal"/>
      <w:lvlText w:val="%1.%2.%3.%4.%5.%6.%7.%8"/>
      <w:lvlJc w:val="left"/>
      <w:pPr>
        <w:ind w:left="1980" w:hanging="1440"/>
      </w:pPr>
      <w:rPr/>
    </w:lvl>
    <w:lvl w:ilvl="8">
      <w:start w:val="1"/>
      <w:numFmt w:val="decimal"/>
      <w:lvlText w:val="%1.%2.%3.%4.%5.%6.%7.%8.%9"/>
      <w:lvlJc w:val="left"/>
      <w:pPr>
        <w:ind w:left="2340" w:hanging="180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alibri" w:cs="Calibri" w:eastAsia="Calibri" w:hAnsi="Calibri"/>
        <w:sz w:val="22"/>
        <w:szCs w:val="22"/>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pPr>
      <w:overflowPunct w:val="0"/>
      <w:autoSpaceDE w:val="0"/>
      <w:autoSpaceDN w:val="0"/>
      <w:adjustRightInd w:val="0"/>
      <w:spacing w:after="240" w:line="240" w:lineRule="auto"/>
      <w:jc w:val="both"/>
      <w:textAlignment w:val="baseline"/>
    </w:pPr>
    <w:rPr>
      <w:rFonts w:ascii="Calibri" w:cs="Arial" w:eastAsia="Times New Roman" w:hAnsi="Calibri"/>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CLAUSEHEADING" w:customStyle="1">
    <w:name w:val="GPS L1 CLAUSE HEADING"/>
    <w:basedOn w:val="Normal"/>
    <w:next w:val="Normal"/>
    <w:qFormat w:val="1"/>
    <w:pPr>
      <w:numPr>
        <w:numId w:val="1"/>
      </w:numPr>
      <w:tabs>
        <w:tab w:val="left" w:pos="142"/>
      </w:tabs>
      <w:overflowPunct w:val="1"/>
      <w:autoSpaceDE w:val="1"/>
      <w:autoSpaceDN w:val="1"/>
      <w:spacing w:before="120"/>
      <w:textAlignment w:val="auto"/>
      <w:outlineLvl w:val="1"/>
    </w:pPr>
    <w:rPr>
      <w:rFonts w:eastAsia="STZhongsong"/>
      <w:b w:val="1"/>
      <w:caps w:val="1"/>
      <w:lang w:eastAsia="zh-CN"/>
    </w:rPr>
  </w:style>
  <w:style w:type="paragraph" w:styleId="GPSL3numberedclause" w:customStyle="1">
    <w:name w:val="GPS L3 numbered clause"/>
    <w:basedOn w:val="Normal"/>
    <w:link w:val="GPSL3numberedclauseChar"/>
    <w:qFormat w:val="1"/>
    <w:pPr>
      <w:numPr>
        <w:ilvl w:val="2"/>
        <w:numId w:val="1"/>
      </w:numPr>
      <w:overflowPunct w:val="1"/>
      <w:autoSpaceDE w:val="1"/>
      <w:autoSpaceDN w:val="1"/>
      <w:spacing w:after="120" w:before="120"/>
      <w:ind w:left="1656"/>
      <w:textAlignment w:val="auto"/>
    </w:pPr>
    <w:rPr>
      <w:lang w:eastAsia="zh-CN"/>
    </w:rPr>
  </w:style>
  <w:style w:type="paragraph" w:styleId="GPSL4numberedclause" w:customStyle="1">
    <w:name w:val="GPS L4 numbered clause"/>
    <w:basedOn w:val="GPSL3numberedclause"/>
    <w:link w:val="GPSL4numberedclauseChar"/>
    <w:qFormat w:val="1"/>
    <w:pPr>
      <w:numPr>
        <w:ilvl w:val="3"/>
      </w:numPr>
      <w:tabs>
        <w:tab w:val="left" w:pos="2552"/>
      </w:tabs>
    </w:pPr>
  </w:style>
  <w:style w:type="character" w:styleId="GPSL4numberedclauseChar" w:customStyle="1">
    <w:name w:val="GPS L4 numbered clause Char"/>
    <w:link w:val="GPSL4numberedclause"/>
    <w:locked w:val="1"/>
    <w:rPr>
      <w:rFonts w:ascii="Calibri" w:cs="Arial" w:eastAsia="Times New Roman" w:hAnsi="Calibri"/>
      <w:lang w:eastAsia="zh-CN"/>
    </w:rPr>
  </w:style>
  <w:style w:type="paragraph" w:styleId="GPSL5numberedclause" w:customStyle="1">
    <w:name w:val="GPS L5 numbered clause"/>
    <w:basedOn w:val="GPSL4numberedclause"/>
    <w:qFormat w:val="1"/>
    <w:pPr>
      <w:numPr>
        <w:ilvl w:val="4"/>
      </w:numPr>
      <w:tabs>
        <w:tab w:val="num" w:pos="360"/>
        <w:tab w:val="left" w:pos="3119"/>
      </w:tabs>
      <w:ind w:left="3119" w:hanging="567"/>
    </w:pPr>
  </w:style>
  <w:style w:type="paragraph" w:styleId="GPSL2NumberedBoldHeading" w:customStyle="1">
    <w:name w:val="GPS L2 Numbered Bold Heading"/>
    <w:basedOn w:val="Normal"/>
    <w:qFormat w:val="1"/>
    <w:pPr>
      <w:numPr>
        <w:ilvl w:val="1"/>
        <w:numId w:val="1"/>
      </w:numPr>
      <w:tabs>
        <w:tab w:val="left" w:pos="1134"/>
      </w:tabs>
      <w:overflowPunct w:val="1"/>
      <w:autoSpaceDE w:val="1"/>
      <w:autoSpaceDN w:val="1"/>
      <w:spacing w:after="120" w:before="120"/>
      <w:textAlignment w:val="auto"/>
    </w:pPr>
    <w:rPr>
      <w:b w:val="1"/>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paragraph" w:styleId="GPSL1SCHEDULEHeading" w:customStyle="1">
    <w:name w:val="GPS L1 SCHEDULE Heading"/>
    <w:basedOn w:val="GPSL1CLAUSEHEADING"/>
    <w:link w:val="GPSL1SCHEDULEHeadingChar"/>
    <w:qFormat w:val="1"/>
    <w:pPr>
      <w:tabs>
        <w:tab w:val="clear" w:pos="142"/>
      </w:tabs>
      <w:ind w:left="360"/>
      <w:outlineLvl w:val="9"/>
    </w:pPr>
  </w:style>
  <w:style w:type="paragraph" w:styleId="GPSmacrorestart" w:customStyle="1">
    <w:name w:val="GPS macro restart"/>
    <w:basedOn w:val="Normal"/>
    <w:qFormat w:val="1"/>
    <w:pPr>
      <w:spacing w:after="0"/>
    </w:pPr>
    <w:rPr>
      <w:color w:val="ffffff"/>
      <w:sz w:val="16"/>
      <w:szCs w:val="16"/>
    </w:rPr>
  </w:style>
  <w:style w:type="paragraph" w:styleId="GPSSchTitleandNumber" w:customStyle="1">
    <w:name w:val="GPS Sch Title and Number"/>
    <w:basedOn w:val="Normal"/>
    <w:link w:val="GPSSchTitleandNumberChar"/>
    <w:qFormat w:val="1"/>
    <w:pPr>
      <w:keepNext w:val="1"/>
      <w:overflowPunct w:val="1"/>
      <w:autoSpaceDE w:val="1"/>
      <w:autoSpaceDN w:val="1"/>
      <w:ind w:firstLine="426"/>
      <w:jc w:val="center"/>
      <w:textAlignment w:val="auto"/>
      <w:outlineLvl w:val="0"/>
    </w:pPr>
    <w:rPr>
      <w:rFonts w:ascii="Arial Bold" w:cs="Times New Roman" w:eastAsia="STZhongsong" w:hAnsi="Arial Bold"/>
      <w:b w:val="1"/>
      <w:caps w:val="1"/>
      <w:lang w:eastAsia="zh-CN"/>
    </w:rPr>
  </w:style>
  <w:style w:type="paragraph" w:styleId="GPSL2Numbered" w:customStyle="1">
    <w:name w:val="GPS L2 Numbered"/>
    <w:basedOn w:val="GPSL2NumberedBoldHeading"/>
    <w:link w:val="GPSL2NumberedChar"/>
    <w:qFormat w:val="1"/>
    <w:pPr>
      <w:tabs>
        <w:tab w:val="clear" w:pos="1134"/>
      </w:tabs>
      <w:ind w:left="936" w:hanging="576"/>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character" w:styleId="GPSL1SCHEDULEHeadingChar" w:customStyle="1">
    <w:name w:val="GPS L1 SCHEDULE Heading Char"/>
    <w:link w:val="GPSL1SCHEDULEHeading"/>
    <w:locked w:val="1"/>
    <w:rPr>
      <w:rFonts w:ascii="Calibri" w:cs="Arial" w:eastAsia="STZhongsong" w:hAnsi="Calibri"/>
      <w:b w:val="1"/>
      <w:caps w:val="1"/>
      <w:lang w:eastAsia="zh-CN"/>
    </w:rPr>
  </w:style>
  <w:style w:type="character" w:styleId="GPSSchTitleandNumberChar" w:customStyle="1">
    <w:name w:val="GPS Sch Title and Number Char"/>
    <w:link w:val="GPSSchTitleandNumber"/>
    <w:locked w:val="1"/>
    <w:rPr>
      <w:rFonts w:ascii="Arial Bold" w:cs="Times New Roman" w:eastAsia="STZhongsong" w:hAnsi="Arial Bold"/>
      <w:b w:val="1"/>
      <w:caps w:val="1"/>
      <w:lang w:eastAsia="zh-CN"/>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table" w:styleId="TableGrid">
    <w:name w:val="Table Grid"/>
    <w:basedOn w:val="TableNormal"/>
    <w:uiPriority w:val="59"/>
    <w:pPr>
      <w:spacing w:after="0" w:line="240" w:lineRule="auto"/>
    </w:pPr>
    <w:rPr>
      <w:rFonts w:ascii="Calibri" w:cs="Times New Roman" w:eastAsia="Calibri" w:hAnsi="Calibri"/>
      <w:color w:val="000000"/>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ommentReference">
    <w:name w:val="annotation reference"/>
    <w:basedOn w:val="DefaultParagraphFont"/>
    <w:unhideWhenUsed w:val="1"/>
    <w:rPr>
      <w:sz w:val="16"/>
      <w:szCs w:val="16"/>
    </w:rPr>
  </w:style>
  <w:style w:type="paragraph" w:styleId="CommentText">
    <w:name w:val="annotation text"/>
    <w:basedOn w:val="Normal"/>
    <w:link w:val="CommentTextChar"/>
    <w:unhideWhenUsed w:val="1"/>
    <w:rPr>
      <w:sz w:val="20"/>
      <w:szCs w:val="20"/>
    </w:rPr>
  </w:style>
  <w:style w:type="character" w:styleId="CommentTextChar" w:customStyle="1">
    <w:name w:val="Comment Text Char"/>
    <w:basedOn w:val="DefaultParagraphFont"/>
    <w:link w:val="CommentText"/>
    <w:uiPriority w:val="99"/>
    <w:semiHidden w:val="1"/>
    <w:rPr>
      <w:rFonts w:ascii="Calibri" w:cs="Arial" w:eastAsia="Times New Roman"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Arial" w:eastAsia="Times New Roman" w:hAnsi="Calibri"/>
      <w:b w:val="1"/>
      <w:bCs w:val="1"/>
      <w:sz w:val="20"/>
      <w:szCs w:val="20"/>
    </w:rPr>
  </w:style>
  <w:style w:type="paragraph" w:styleId="11table" w:customStyle="1">
    <w:name w:val="1.1 table"/>
    <w:basedOn w:val="Normal"/>
    <w:qFormat w:val="1"/>
    <w:pPr>
      <w:numPr>
        <w:numId w:val="28"/>
      </w:numPr>
      <w:overflowPunct w:val="1"/>
      <w:autoSpaceDE w:val="1"/>
      <w:adjustRightInd w:val="1"/>
      <w:spacing w:after="0"/>
      <w:jc w:val="left"/>
      <w:textAlignment w:val="auto"/>
    </w:pPr>
    <w:rPr>
      <w:rFonts w:cs="Times New Roman" w:eastAsia="STZhongsong"/>
      <w:b w:val="1"/>
      <w:lang w:eastAsia="zh-CN"/>
    </w:rPr>
  </w:style>
  <w:style w:type="numbering" w:styleId="LFO9" w:customStyle="1">
    <w:name w:val="LFO9"/>
    <w:basedOn w:val="NoList"/>
    <w:pPr>
      <w:numPr>
        <w:numId w:val="28"/>
      </w:numPr>
    </w:pPr>
  </w:style>
  <w:style w:type="paragraph" w:styleId="Revision">
    <w:name w:val="Revision"/>
    <w:hidden w:val="1"/>
    <w:uiPriority w:val="99"/>
    <w:semiHidden w:val="1"/>
    <w:pPr>
      <w:spacing w:after="0" w:line="240" w:lineRule="auto"/>
    </w:pPr>
    <w:rPr>
      <w:rFonts w:ascii="Calibri" w:cs="Arial" w:eastAsia="Times New Roman" w:hAnsi="Calibri"/>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ChT4OjjEgP19GFspLZIrtLBOlw==">CgMxLjAyCGguZ2pkZ3hzMgloLjMwajB6bGwyCWguMWZvYjl0ZTIKaWQuM3pueXNoNzgAciExcFphVUJ3cHNkUEF0VGQwY04xZDdUMHAweUl3WF96Mm8=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2019-04-10T22:22:00Z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ies>
</file>